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50D" w:rsidRDefault="0016750D" w:rsidP="00505558">
      <w:pPr>
        <w:spacing w:after="0" w:line="240" w:lineRule="auto"/>
        <w:jc w:val="center"/>
        <w:outlineLvl w:val="0"/>
        <w:rPr>
          <w:rFonts w:eastAsia="Times New Roman" w:cstheme="minorHAnsi"/>
          <w:b/>
          <w:bCs/>
          <w:kern w:val="36"/>
          <w:sz w:val="32"/>
          <w:szCs w:val="32"/>
        </w:rPr>
      </w:pPr>
      <w:r w:rsidRPr="00505558">
        <w:rPr>
          <w:rFonts w:eastAsia="Times New Roman" w:cstheme="minorHAnsi"/>
          <w:b/>
          <w:bCs/>
          <w:kern w:val="36"/>
          <w:sz w:val="32"/>
          <w:szCs w:val="32"/>
        </w:rPr>
        <w:t>A Nemzeti Egészségbiztosítási Alapkezelő Tájékoztatója</w:t>
      </w:r>
    </w:p>
    <w:p w:rsidR="0016750D" w:rsidRDefault="0016750D" w:rsidP="00505558">
      <w:pPr>
        <w:spacing w:after="0" w:line="240" w:lineRule="auto"/>
        <w:jc w:val="center"/>
        <w:outlineLvl w:val="0"/>
        <w:rPr>
          <w:rFonts w:eastAsia="Times New Roman" w:cstheme="minorHAnsi"/>
          <w:b/>
          <w:bCs/>
          <w:kern w:val="36"/>
          <w:sz w:val="32"/>
          <w:szCs w:val="32"/>
        </w:rPr>
      </w:pPr>
    </w:p>
    <w:p w:rsidR="006E3A6B" w:rsidRPr="00505558" w:rsidRDefault="009E3D7C" w:rsidP="00505558">
      <w:pPr>
        <w:spacing w:after="0" w:line="240" w:lineRule="auto"/>
        <w:jc w:val="center"/>
        <w:outlineLvl w:val="0"/>
        <w:rPr>
          <w:rFonts w:eastAsia="Times New Roman" w:cstheme="minorHAnsi"/>
          <w:b/>
          <w:bCs/>
          <w:kern w:val="36"/>
          <w:sz w:val="32"/>
          <w:szCs w:val="32"/>
        </w:rPr>
      </w:pPr>
      <w:r w:rsidRPr="00505558">
        <w:rPr>
          <w:rFonts w:eastAsia="Times New Roman" w:cstheme="minorHAnsi"/>
          <w:b/>
          <w:bCs/>
          <w:kern w:val="36"/>
          <w:sz w:val="32"/>
          <w:szCs w:val="32"/>
        </w:rPr>
        <w:t>Gyógyászati segédeszközök elektronikus vényen történő rendelhetőség</w:t>
      </w:r>
      <w:r w:rsidR="0016750D">
        <w:rPr>
          <w:rFonts w:eastAsia="Times New Roman" w:cstheme="minorHAnsi"/>
          <w:b/>
          <w:bCs/>
          <w:kern w:val="36"/>
          <w:sz w:val="32"/>
          <w:szCs w:val="32"/>
        </w:rPr>
        <w:t>éről</w:t>
      </w:r>
    </w:p>
    <w:p w:rsidR="006E3A6B" w:rsidRDefault="006E3A6B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</w:p>
    <w:p w:rsidR="0016750D" w:rsidRDefault="0016750D" w:rsidP="00505558">
      <w:pPr>
        <w:spacing w:after="0" w:line="240" w:lineRule="auto"/>
        <w:jc w:val="both"/>
        <w:rPr>
          <w:rFonts w:eastAsia="Times New Roman" w:cstheme="minorHAnsi"/>
        </w:rPr>
      </w:pPr>
      <w:r w:rsidRPr="0016750D">
        <w:rPr>
          <w:rFonts w:eastAsia="Times New Roman" w:cstheme="minorHAnsi"/>
        </w:rPr>
        <w:t>A kihirdetett veszélyhelyzet</w:t>
      </w:r>
      <w:r w:rsidR="00E82458">
        <w:rPr>
          <w:rFonts w:eastAsia="Times New Roman" w:cstheme="minorHAnsi"/>
        </w:rPr>
        <w:t>, illetve járványügyi készültség</w:t>
      </w:r>
      <w:r w:rsidRPr="0016750D">
        <w:rPr>
          <w:rFonts w:eastAsia="Times New Roman" w:cstheme="minorHAnsi"/>
        </w:rPr>
        <w:t xml:space="preserve"> alatti biztonságos gyógyászati segédeszköz ellátás érdekében egyes gyógyászati segédeszközök a beteg kérésére elektronikus vényen is rendelhetők 2020. </w:t>
      </w:r>
      <w:r w:rsidR="00632858">
        <w:rPr>
          <w:rFonts w:eastAsia="Times New Roman" w:cstheme="minorHAnsi"/>
        </w:rPr>
        <w:t>április 30. után.</w:t>
      </w:r>
    </w:p>
    <w:p w:rsidR="00632858" w:rsidRPr="0016750D" w:rsidRDefault="00632858" w:rsidP="00505558">
      <w:pPr>
        <w:spacing w:after="0" w:line="240" w:lineRule="auto"/>
        <w:jc w:val="both"/>
        <w:rPr>
          <w:rFonts w:eastAsia="Times New Roman" w:cstheme="minorHAnsi"/>
        </w:rPr>
      </w:pPr>
      <w:r>
        <w:rPr>
          <w:rFonts w:eastAsia="Times New Roman" w:cstheme="minorHAnsi"/>
        </w:rPr>
        <w:t xml:space="preserve">Az orvosi vényfelíró programokban a törzs átvételét követően </w:t>
      </w:r>
      <w:r w:rsidRPr="00632858">
        <w:rPr>
          <w:rFonts w:eastAsia="Times New Roman" w:cstheme="minorHAnsi"/>
          <w:b/>
        </w:rPr>
        <w:t>május 1-től</w:t>
      </w:r>
      <w:r>
        <w:rPr>
          <w:rFonts w:eastAsia="Times New Roman" w:cstheme="minorHAnsi"/>
        </w:rPr>
        <w:t xml:space="preserve"> érhető el ez a funkció.</w:t>
      </w:r>
    </w:p>
    <w:p w:rsidR="0016750D" w:rsidRPr="0016750D" w:rsidRDefault="0016750D">
      <w:pPr>
        <w:spacing w:after="0" w:line="240" w:lineRule="auto"/>
        <w:rPr>
          <w:rFonts w:eastAsia="Times New Roman" w:cstheme="minorHAnsi"/>
        </w:rPr>
      </w:pPr>
    </w:p>
    <w:p w:rsidR="006E3A6B" w:rsidRPr="0016750D" w:rsidRDefault="0016750D">
      <w:pPr>
        <w:spacing w:after="0" w:line="240" w:lineRule="auto"/>
        <w:jc w:val="both"/>
        <w:rPr>
          <w:rFonts w:eastAsia="Times New Roman" w:cstheme="minorHAnsi"/>
        </w:rPr>
      </w:pPr>
      <w:r>
        <w:rPr>
          <w:rFonts w:eastAsia="Times New Roman" w:cstheme="minorHAnsi"/>
        </w:rPr>
        <w:t xml:space="preserve">Felhívjuk a figyelmet, hogy az alább felsorolt csoportokba tartózó termékek </w:t>
      </w:r>
      <w:r w:rsidRPr="00505558">
        <w:rPr>
          <w:rFonts w:eastAsia="Times New Roman" w:cstheme="minorHAnsi"/>
          <w:b/>
        </w:rPr>
        <w:t>elektronikus vényfelírás esetén</w:t>
      </w:r>
      <w:r>
        <w:rPr>
          <w:rFonts w:eastAsia="Times New Roman" w:cstheme="minorHAnsi"/>
        </w:rPr>
        <w:t xml:space="preserve"> </w:t>
      </w:r>
      <w:r w:rsidRPr="00505558">
        <w:rPr>
          <w:rFonts w:eastAsia="Times New Roman" w:cstheme="minorHAnsi"/>
          <w:b/>
        </w:rPr>
        <w:t>kizárólag gyógyszertárban</w:t>
      </w:r>
      <w:r>
        <w:rPr>
          <w:rFonts w:eastAsia="Times New Roman" w:cstheme="minorHAnsi"/>
        </w:rPr>
        <w:t xml:space="preserve"> válthatók ki. Természetesen valamennyi gyógyászati segédeszköz továbbra is rendelhető a </w:t>
      </w:r>
      <w:r w:rsidR="00F64A5F" w:rsidRPr="00F64A5F">
        <w:rPr>
          <w:rFonts w:eastAsia="Times New Roman" w:cstheme="minorHAnsi"/>
        </w:rPr>
        <w:t>gyógyászati segédeszköz</w:t>
      </w:r>
      <w:r w:rsidR="00505558">
        <w:rPr>
          <w:rFonts w:eastAsia="Times New Roman" w:cstheme="minorHAnsi"/>
        </w:rPr>
        <w:t>ök és</w:t>
      </w:r>
      <w:r w:rsidR="00F64A5F" w:rsidRPr="00F64A5F">
        <w:rPr>
          <w:rFonts w:eastAsia="Times New Roman" w:cstheme="minorHAnsi"/>
        </w:rPr>
        <w:t xml:space="preserve"> gyógyszerek rendelésére használatos, a társadalombiztosítás által rendszeresített</w:t>
      </w:r>
      <w:r w:rsidR="00F64A5F">
        <w:rPr>
          <w:rFonts w:eastAsia="Times New Roman" w:cstheme="minorHAnsi"/>
        </w:rPr>
        <w:t xml:space="preserve"> vényen is, és ezek a vények valamennyi forgalmazónál kiválthatók.</w:t>
      </w:r>
    </w:p>
    <w:p w:rsidR="006E3A6B" w:rsidRPr="0016750D" w:rsidRDefault="006E3A6B">
      <w:pPr>
        <w:spacing w:after="0" w:line="240" w:lineRule="auto"/>
        <w:jc w:val="both"/>
        <w:rPr>
          <w:rFonts w:eastAsia="Times New Roman" w:cstheme="minorHAnsi"/>
        </w:rPr>
      </w:pPr>
    </w:p>
    <w:tbl>
      <w:tblPr>
        <w:tblW w:w="6560" w:type="dxa"/>
        <w:jc w:val="center"/>
        <w:tblInd w:w="58" w:type="dxa"/>
        <w:tblCellMar>
          <w:left w:w="70" w:type="dxa"/>
          <w:right w:w="70" w:type="dxa"/>
        </w:tblCellMar>
        <w:tblLook w:val="04A0"/>
      </w:tblPr>
      <w:tblGrid>
        <w:gridCol w:w="1520"/>
        <w:gridCol w:w="5040"/>
      </w:tblGrid>
      <w:tr w:rsidR="00EB1B26" w:rsidRPr="0016750D" w:rsidTr="00EB1B26">
        <w:trPr>
          <w:trHeight w:val="30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16750D" w:rsidRDefault="00EB1B26" w:rsidP="00EB1B2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16750D">
              <w:rPr>
                <w:rFonts w:eastAsia="Times New Roman" w:cstheme="minorHAnsi"/>
                <w:b/>
                <w:bCs/>
              </w:rPr>
              <w:t>ISO-kód</w:t>
            </w:r>
          </w:p>
        </w:tc>
        <w:tc>
          <w:tcPr>
            <w:tcW w:w="5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16750D" w:rsidRDefault="00EB1B26" w:rsidP="00EB1B26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</w:rPr>
            </w:pPr>
            <w:r w:rsidRPr="0016750D">
              <w:rPr>
                <w:rFonts w:eastAsia="Times New Roman" w:cstheme="minorHAnsi"/>
                <w:b/>
                <w:bCs/>
              </w:rPr>
              <w:t>Megn</w:t>
            </w:r>
            <w:bookmarkStart w:id="0" w:name="_GoBack"/>
            <w:bookmarkEnd w:id="0"/>
            <w:r w:rsidRPr="0016750D">
              <w:rPr>
                <w:rFonts w:eastAsia="Times New Roman" w:cstheme="minorHAnsi"/>
                <w:b/>
                <w:bCs/>
              </w:rPr>
              <w:t>evezés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0203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Filmkötszerek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0224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Mull-lapok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0230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Impregnált gézlapok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0233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Nedvszívó sebpárnák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0236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Ragtapaszok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0239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Kötésrögzítők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04030603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Ultrahangos inhalátorok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04190906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Tű nélküli, egyszer használatos fecskendők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04191503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Egyszer használatos fecskendőtűk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04191506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 xml:space="preserve">Egyszer használatos </w:t>
            </w:r>
            <w:proofErr w:type="spellStart"/>
            <w:r w:rsidRPr="00505558">
              <w:rPr>
                <w:rFonts w:eastAsia="Times New Roman" w:cstheme="minorHAnsi"/>
              </w:rPr>
              <w:t>pen</w:t>
            </w:r>
            <w:proofErr w:type="spellEnd"/>
            <w:r w:rsidRPr="00505558">
              <w:rPr>
                <w:rFonts w:eastAsia="Times New Roman" w:cstheme="minorHAnsi"/>
              </w:rPr>
              <w:t xml:space="preserve"> tűk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04192106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 xml:space="preserve">Adagoló </w:t>
            </w:r>
            <w:proofErr w:type="spellStart"/>
            <w:r w:rsidRPr="00505558">
              <w:rPr>
                <w:rFonts w:eastAsia="Times New Roman" w:cstheme="minorHAnsi"/>
              </w:rPr>
              <w:t>penek</w:t>
            </w:r>
            <w:proofErr w:type="spellEnd"/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04241203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Vércukorszintmérők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04625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04241206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04625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Tesztcsíkok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0439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Szemtakarók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092403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proofErr w:type="spellStart"/>
            <w:r w:rsidRPr="00505558">
              <w:rPr>
                <w:rFonts w:eastAsia="Times New Roman" w:cstheme="minorHAnsi"/>
              </w:rPr>
              <w:t>Ballonkatéterek</w:t>
            </w:r>
            <w:proofErr w:type="spellEnd"/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092705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Testen viselt vizeletgyűjtő zsákok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09300403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Egyszer használatos inkontinenciabetétek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09300406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Egyszer használatos nadrágpelenkák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09300421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Egyszer használatos hímvesszőpelenkák</w:t>
            </w:r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1509301203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 xml:space="preserve">100 ml-es </w:t>
            </w:r>
            <w:proofErr w:type="spellStart"/>
            <w:r w:rsidRPr="00505558">
              <w:rPr>
                <w:rFonts w:eastAsia="Times New Roman" w:cstheme="minorHAnsi"/>
              </w:rPr>
              <w:t>öblítőfecskendők</w:t>
            </w:r>
            <w:proofErr w:type="spellEnd"/>
          </w:p>
        </w:tc>
      </w:tr>
      <w:tr w:rsidR="00EB1B26" w:rsidRPr="00505558" w:rsidTr="00EB1B26">
        <w:trPr>
          <w:trHeight w:val="300"/>
          <w:jc w:val="center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>1812180603</w:t>
            </w:r>
          </w:p>
        </w:tc>
        <w:tc>
          <w:tcPr>
            <w:tcW w:w="5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B1B26" w:rsidRPr="00505558" w:rsidRDefault="00EB1B26" w:rsidP="00EB1B26">
            <w:pPr>
              <w:spacing w:after="0" w:line="240" w:lineRule="auto"/>
              <w:rPr>
                <w:rFonts w:eastAsia="Times New Roman" w:cstheme="minorHAnsi"/>
              </w:rPr>
            </w:pPr>
            <w:r w:rsidRPr="00505558">
              <w:rPr>
                <w:rFonts w:eastAsia="Times New Roman" w:cstheme="minorHAnsi"/>
              </w:rPr>
              <w:t xml:space="preserve">Egyszer használatos </w:t>
            </w:r>
            <w:proofErr w:type="spellStart"/>
            <w:r w:rsidRPr="00505558">
              <w:rPr>
                <w:rFonts w:eastAsia="Times New Roman" w:cstheme="minorHAnsi"/>
              </w:rPr>
              <w:t>antidecubitus-alátétek</w:t>
            </w:r>
            <w:proofErr w:type="spellEnd"/>
          </w:p>
        </w:tc>
      </w:tr>
    </w:tbl>
    <w:p w:rsidR="006E3A6B" w:rsidRPr="00505558" w:rsidRDefault="006E3A6B">
      <w:pPr>
        <w:spacing w:after="0" w:line="240" w:lineRule="auto"/>
        <w:jc w:val="both"/>
        <w:rPr>
          <w:rFonts w:eastAsia="Times New Roman" w:cstheme="minorHAnsi"/>
        </w:rPr>
      </w:pPr>
    </w:p>
    <w:p w:rsidR="00F64A5F" w:rsidRDefault="00F64A5F">
      <w:pPr>
        <w:spacing w:after="0" w:line="240" w:lineRule="auto"/>
        <w:jc w:val="both"/>
        <w:rPr>
          <w:rFonts w:eastAsia="Times New Roman" w:cstheme="minorHAnsi"/>
        </w:rPr>
      </w:pPr>
      <w:r>
        <w:rPr>
          <w:rFonts w:eastAsia="Times New Roman" w:cstheme="minorHAnsi"/>
        </w:rPr>
        <w:t>A részletes terméklista a NEAK honlapján, a publikus gyógyászati segédeszköz törzs rovatban érhető el, az alábbi linkre kattintva.</w:t>
      </w:r>
    </w:p>
    <w:p w:rsidR="006E3A6B" w:rsidRPr="00505558" w:rsidRDefault="006E3A6B">
      <w:pPr>
        <w:spacing w:after="0" w:line="240" w:lineRule="auto"/>
        <w:jc w:val="both"/>
        <w:rPr>
          <w:rFonts w:eastAsia="Times New Roman" w:cstheme="minorHAnsi"/>
        </w:rPr>
      </w:pPr>
    </w:p>
    <w:p w:rsidR="006E3A6B" w:rsidRPr="0016750D" w:rsidRDefault="00ED5A56">
      <w:pPr>
        <w:spacing w:after="0" w:line="240" w:lineRule="auto"/>
        <w:rPr>
          <w:rFonts w:cstheme="minorHAnsi"/>
          <w:color w:val="1F497D"/>
        </w:rPr>
      </w:pPr>
      <w:hyperlink r:id="rId4" w:history="1">
        <w:r w:rsidR="009E3322" w:rsidRPr="0016750D">
          <w:rPr>
            <w:rStyle w:val="Hiperhivatkozs"/>
            <w:rFonts w:cstheme="minorHAnsi"/>
          </w:rPr>
          <w:t>http://www.neak.gov.hu/felso_menu/szakmai_oldalak/gyogyszer_segedeszkoz_gyogyfurdo_tamogatas/egeszsegugyi_vallalkozasoknak/puphag/Vegleges_PUPHAG.html</w:t>
        </w:r>
      </w:hyperlink>
    </w:p>
    <w:p w:rsidR="006E3A6B" w:rsidRPr="00505558" w:rsidRDefault="006E3A6B">
      <w:pPr>
        <w:spacing w:after="0" w:line="240" w:lineRule="auto"/>
        <w:rPr>
          <w:rFonts w:cstheme="minorHAnsi"/>
          <w:color w:val="1F497D"/>
        </w:rPr>
      </w:pPr>
    </w:p>
    <w:p w:rsidR="009E3D7C" w:rsidRPr="00505558" w:rsidRDefault="009E3322" w:rsidP="009E3D7C">
      <w:pPr>
        <w:spacing w:before="100" w:beforeAutospacing="1" w:after="100" w:afterAutospacing="1" w:line="240" w:lineRule="auto"/>
        <w:rPr>
          <w:rFonts w:eastAsia="Times New Roman" w:cstheme="minorHAnsi"/>
        </w:rPr>
      </w:pPr>
      <w:r w:rsidRPr="00505558">
        <w:rPr>
          <w:rFonts w:eastAsia="Times New Roman" w:cstheme="minorHAnsi"/>
          <w:b/>
          <w:bCs/>
        </w:rPr>
        <w:t>Nemzeti Egészségbiztosítási Alapkezelő</w:t>
      </w:r>
      <w:r w:rsidRPr="00505558">
        <w:rPr>
          <w:rFonts w:eastAsia="Times New Roman" w:cstheme="minorHAnsi"/>
        </w:rPr>
        <w:t xml:space="preserve"> </w:t>
      </w:r>
    </w:p>
    <w:sectPr w:rsidR="009E3D7C" w:rsidRPr="00505558" w:rsidSect="00D35361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E3D7C"/>
    <w:rsid w:val="00041292"/>
    <w:rsid w:val="00046256"/>
    <w:rsid w:val="000F46D6"/>
    <w:rsid w:val="00121830"/>
    <w:rsid w:val="00126334"/>
    <w:rsid w:val="001532E6"/>
    <w:rsid w:val="0016750D"/>
    <w:rsid w:val="001A0DFB"/>
    <w:rsid w:val="001B099C"/>
    <w:rsid w:val="00220BBC"/>
    <w:rsid w:val="00267C33"/>
    <w:rsid w:val="00290E51"/>
    <w:rsid w:val="002F39C0"/>
    <w:rsid w:val="003258CD"/>
    <w:rsid w:val="00331C65"/>
    <w:rsid w:val="00374341"/>
    <w:rsid w:val="00395FFB"/>
    <w:rsid w:val="00400B15"/>
    <w:rsid w:val="004463DE"/>
    <w:rsid w:val="00464BF2"/>
    <w:rsid w:val="00477AD4"/>
    <w:rsid w:val="00477CA3"/>
    <w:rsid w:val="004A6849"/>
    <w:rsid w:val="00505558"/>
    <w:rsid w:val="0051656D"/>
    <w:rsid w:val="005847D7"/>
    <w:rsid w:val="005B521D"/>
    <w:rsid w:val="005B64C6"/>
    <w:rsid w:val="005F0C9C"/>
    <w:rsid w:val="00632858"/>
    <w:rsid w:val="0065659A"/>
    <w:rsid w:val="00674ED6"/>
    <w:rsid w:val="006C2A3C"/>
    <w:rsid w:val="006E3A6B"/>
    <w:rsid w:val="007308A6"/>
    <w:rsid w:val="007624F7"/>
    <w:rsid w:val="007A3A63"/>
    <w:rsid w:val="007A7FBE"/>
    <w:rsid w:val="007C33F9"/>
    <w:rsid w:val="007D046D"/>
    <w:rsid w:val="00822953"/>
    <w:rsid w:val="0083530F"/>
    <w:rsid w:val="008849BC"/>
    <w:rsid w:val="0089697F"/>
    <w:rsid w:val="00965353"/>
    <w:rsid w:val="00966083"/>
    <w:rsid w:val="009E3322"/>
    <w:rsid w:val="009E3D7C"/>
    <w:rsid w:val="009F53FD"/>
    <w:rsid w:val="00A648B1"/>
    <w:rsid w:val="00AA495B"/>
    <w:rsid w:val="00B10332"/>
    <w:rsid w:val="00B85026"/>
    <w:rsid w:val="00C321E9"/>
    <w:rsid w:val="00C638AE"/>
    <w:rsid w:val="00CB5F22"/>
    <w:rsid w:val="00D35361"/>
    <w:rsid w:val="00DA26AF"/>
    <w:rsid w:val="00DC555B"/>
    <w:rsid w:val="00E27E51"/>
    <w:rsid w:val="00E72C54"/>
    <w:rsid w:val="00E82458"/>
    <w:rsid w:val="00EB1B26"/>
    <w:rsid w:val="00EC2AC2"/>
    <w:rsid w:val="00ED5A56"/>
    <w:rsid w:val="00F12A81"/>
    <w:rsid w:val="00F64A5F"/>
    <w:rsid w:val="00FC4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B5F22"/>
  </w:style>
  <w:style w:type="paragraph" w:styleId="Cmsor1">
    <w:name w:val="heading 1"/>
    <w:basedOn w:val="Norml"/>
    <w:link w:val="Cmsor1Char"/>
    <w:uiPriority w:val="9"/>
    <w:qFormat/>
    <w:rsid w:val="009E3D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E3D7C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NormlWeb">
    <w:name w:val="Normal (Web)"/>
    <w:basedOn w:val="Norml"/>
    <w:uiPriority w:val="99"/>
    <w:semiHidden/>
    <w:unhideWhenUsed/>
    <w:rsid w:val="009E3D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D0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D046D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464BF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64BF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64BF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64BF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64BF2"/>
    <w:rPr>
      <w:b/>
      <w:bCs/>
      <w:sz w:val="20"/>
      <w:szCs w:val="20"/>
    </w:rPr>
  </w:style>
  <w:style w:type="character" w:styleId="Hiperhivatkozs">
    <w:name w:val="Hyperlink"/>
    <w:basedOn w:val="Bekezdsalapbettpusa"/>
    <w:uiPriority w:val="99"/>
    <w:semiHidden/>
    <w:unhideWhenUsed/>
    <w:rsid w:val="005B521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link w:val="Cmsor1Char"/>
    <w:uiPriority w:val="9"/>
    <w:qFormat/>
    <w:rsid w:val="009E3D7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E3D7C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paragraph" w:styleId="NormlWeb">
    <w:name w:val="Normal (Web)"/>
    <w:basedOn w:val="Norml"/>
    <w:uiPriority w:val="99"/>
    <w:semiHidden/>
    <w:unhideWhenUsed/>
    <w:rsid w:val="009E3D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D0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D046D"/>
    <w:rPr>
      <w:rFonts w:ascii="Tahoma" w:hAnsi="Tahoma" w:cs="Tahoma"/>
      <w:sz w:val="16"/>
      <w:szCs w:val="16"/>
    </w:rPr>
  </w:style>
  <w:style w:type="character" w:styleId="Jegyzethivatkozs">
    <w:name w:val="annotation reference"/>
    <w:basedOn w:val="Bekezdsalapbettpusa"/>
    <w:uiPriority w:val="99"/>
    <w:semiHidden/>
    <w:unhideWhenUsed/>
    <w:rsid w:val="00464BF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64BF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64BF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64BF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64BF2"/>
    <w:rPr>
      <w:b/>
      <w:bCs/>
      <w:sz w:val="20"/>
      <w:szCs w:val="20"/>
    </w:rPr>
  </w:style>
  <w:style w:type="character" w:styleId="Hiperhivatkozs">
    <w:name w:val="Hyperlink"/>
    <w:basedOn w:val="Bekezdsalapbettpusa"/>
    <w:uiPriority w:val="99"/>
    <w:semiHidden/>
    <w:unhideWhenUsed/>
    <w:rsid w:val="005B521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41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31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046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911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06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0831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524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9960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6804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799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9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8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eak.gov.hu/felso_menu/szakmai_oldalak/gyogyszer_segedeszkoz_gyogyfurdo_tamogatas/egeszsegugyi_vallalkozasoknak/puphag/Vegleges_PUPHAG.html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260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2056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Madarász Béla</dc:creator>
  <cp:lastModifiedBy>giczeig</cp:lastModifiedBy>
  <cp:revision>3</cp:revision>
  <dcterms:created xsi:type="dcterms:W3CDTF">2021-02-22T13:10:00Z</dcterms:created>
  <dcterms:modified xsi:type="dcterms:W3CDTF">2021-02-22T13:12:00Z</dcterms:modified>
</cp:coreProperties>
</file>